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deuteronomy-19"/>
    <w:p>
      <w:pPr>
        <w:pStyle w:val="Heading1"/>
      </w:pPr>
      <w:r>
        <w:t xml:space="preserve">Homiletics Analysis: Deuteronomy 19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Deuteronomy 19 addresses three interrelated legal provisions governing life in the land of Canaan: the cities of refuge (vv. 1–13), the prohibition against moving boundary stones (v. 14), and the law of witnesses (vv. 15–21). The cities of refuge provision (vv. 1–13) distinguishes between unintentional killing and premeditated murder. The LORD commands Israel to set aside three cities — expandable to six if the territory grows — so that one who kills his neighbor unintentionally may flee there and not be executed by the avenger of blood. The distinguishing test is intent: the man who did not hate his neighbor beforehand has a refuge; the man who hated and acted with premeditation does not. The boundary stone law (v. 14) is a single prohibition against moving the ancient landmark established by former generations — to move it is to steal land, a form of covert injustice. The witnesses law (vv. 15–21) requires a minimum of two or three witnesses to establish any charge, establishes a process for adjudicating false testimony before priests and judges, and mandates that a false witness receive the very punishment he intended for the accused — an application of the</w:t>
      </w:r>
      <w:r>
        <w:t xml:space="preserve"> </w:t>
      </w:r>
      <w:r>
        <w:rPr>
          <w:i/>
          <w:iCs/>
        </w:rPr>
        <w:t xml:space="preserve">lex talionis</w:t>
      </w:r>
      <w:r>
        <w:t xml:space="preserve"> </w:t>
      </w:r>
      <w:r>
        <w:t xml:space="preserve">(</w:t>
      </w:r>
      <w:r>
        <w:t xml:space="preserve">“eye for eye”</w:t>
      </w:r>
      <w:r>
        <w:t xml:space="preserve">). The chapter closes with the governing principle:</w:t>
      </w:r>
      <w:r>
        <w:t xml:space="preserve"> </w:t>
      </w:r>
      <w:r>
        <w:t xml:space="preserve">“You shall purge the evil from your midst”</w:t>
      </w:r>
      <w:r>
        <w:t xml:space="preserve"> </w:t>
      </w:r>
      <w:r>
        <w:t xml:space="preserve">— and</w:t>
      </w:r>
      <w:r>
        <w:t xml:space="preserve"> </w:t>
      </w:r>
      <w:r>
        <w:t xml:space="preserve">“the rest shall hear and fear.”</w:t>
      </w:r>
    </w:p>
    <w:p>
      <w:pPr>
        <w:pStyle w:val="BodyText"/>
      </w:pPr>
      <w:r>
        <w:rPr>
          <w:b/>
          <w:bCs/>
        </w:rPr>
        <w:t xml:space="preserve">This Text — Intent:</w:t>
      </w:r>
    </w:p>
    <w:p>
      <w:pPr>
        <w:pStyle w:val="BodyText"/>
      </w:pPr>
      <w:r>
        <w:t xml:space="preserve">God is establishing Israel as a community of genuine justice — not merely efficient punishment, but justice that distinguishes, that protects the innocent, that exposes and punishes the guilty, and that reflects His own holy character in the ordering of communal life. The intent is not merely legal instruction but formational: Israel is to become a people among whom life is precious, truth is non-negotiable, and the weak are not crushed by the powerful. God is calling His covenant people to image His justice in every dimension of how they handle life, property, and speech. The underlying pastoral concern throughout is the danger of innocent blood — its shedding is treated as a communal defilement, and its protection is treated as a communal obligation.</w:t>
      </w:r>
    </w:p>
    <w:p>
      <w:r>
        <w:pict>
          <v:rect style="width:0;height:1.5pt" o:hralign="center" o:hrstd="t" o:hr="t"/>
        </w:pict>
      </w:r>
    </w:p>
    <w:p>
      <w:pPr>
        <w:pStyle w:val="FirstParagraph"/>
      </w:pPr>
      <w:r>
        <w:rPr>
          <w:b/>
          <w:bCs/>
        </w:rPr>
        <w:t xml:space="preserve">Subject Sentence:</w:t>
      </w:r>
      <w:r>
        <w:t xml:space="preserve"> </w:t>
      </w:r>
      <w:r>
        <w:t xml:space="preserve">God establishes just structures in Israel to protect the innocent and punish the guilty.</w:t>
      </w:r>
    </w:p>
    <w:p>
      <w:r>
        <w:pict>
          <v:rect style="width:0;height:1.5pt" o:hralign="center" o:hrstd="t" o:hr="t"/>
        </w:pict>
      </w:r>
    </w:p>
    <w:p>
      <w:pPr>
        <w:pStyle w:val="FirstParagraph"/>
      </w:pPr>
      <w:r>
        <w:rPr>
          <w:b/>
          <w:bCs/>
        </w:rPr>
        <w:t xml:space="preserve">Primary Claim:</w:t>
      </w:r>
      <w:r>
        <w:t xml:space="preserve"> </w:t>
      </w:r>
      <w:r>
        <w:t xml:space="preserve">God demands that His covenant community order its common life around true justice — distinguishing carefully between guilt and innocence, protecting the vulnerable from false accusation, and ensuring that evil is genuinely purged rather than tolerated.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Cities of Refuge — Intent vs. Guilt:</w:t>
      </w:r>
      <w:r>
        <w:t xml:space="preserve"> </w:t>
      </w:r>
      <w:r>
        <w:t xml:space="preserve">The most significant interpretive question in vv. 1–13 is whether the cities of refuge function as a form of mercy extended to a guilty party, or as justice extended to an innocent one. Some traditions — particularly those emphasizing divine clemency — read the city of refuge primarily as a picture of grace, a</w:t>
      </w:r>
      <w:r>
        <w:t xml:space="preserve"> </w:t>
      </w:r>
      <w:r>
        <w:t xml:space="preserve">“running to God”</w:t>
      </w:r>
      <w:r>
        <w:t xml:space="preserve"> </w:t>
      </w:r>
      <w:r>
        <w:t xml:space="preserve">for protection. This reading has canonical warrant in the typological use of refuge language (Hebrews 6:18 uses</w:t>
      </w:r>
      <w:r>
        <w:t xml:space="preserve"> </w:t>
      </w:r>
      <w:r>
        <w:t xml:space="preserve">“refuge”</w:t>
      </w:r>
      <w:r>
        <w:t xml:space="preserve"> </w:t>
      </w:r>
      <w:r>
        <w:t xml:space="preserve">for the Christian’s flight to Christ), but it must be</w:t>
      </w:r>
      <w:r>
        <w:t xml:space="preserve"> </w:t>
      </w:r>
      <w:r>
        <w:rPr>
          <w:i/>
          <w:iCs/>
        </w:rPr>
        <w:t xml:space="preserve">qualified</w:t>
      </w:r>
      <w:r>
        <w:t xml:space="preserve"> </w:t>
      </w:r>
      <w:r>
        <w:t xml:space="preserve">rather than treated as the primary reading here. The text is emphatic: the city of refuge is not offered to the murderer. The elders are explicitly commanded to hand over the one who killed with premeditation (v. 12). The city of refuge is, in the first instance, a protection for the</w:t>
      </w:r>
      <w:r>
        <w:t xml:space="preserve"> </w:t>
      </w:r>
      <w:r>
        <w:rPr>
          <w:i/>
          <w:iCs/>
        </w:rPr>
        <w:t xml:space="preserve">innocent</w:t>
      </w:r>
      <w:r>
        <w:t xml:space="preserve"> </w:t>
      </w:r>
      <w:r>
        <w:t xml:space="preserve">— the one who acted without intent — from the overzealous application of blood vengeance. To collapse the distinction between unintentional killing and murder is to miss the text’s primary concern: careful discrimination between guilt and innocence. The typological resonance (Christ as refuge) is legitimate but secondary and should not displace the text’s own claim.</w:t>
      </w:r>
    </w:p>
    <w:p>
      <w:pPr>
        <w:pStyle w:val="BodyText"/>
      </w:pPr>
      <w:r>
        <w:rPr>
          <w:b/>
          <w:bCs/>
        </w:rPr>
        <w:t xml:space="preserve">Boundary Stone — Individual Ethics vs. Structural Justice:</w:t>
      </w:r>
      <w:r>
        <w:t xml:space="preserve"> </w:t>
      </w:r>
      <w:r>
        <w:t xml:space="preserve">Verse 14 is sometimes read in isolation as a personal ethics command (don’t cheat your neighbor out of land). This reading is correct but</w:t>
      </w:r>
      <w:r>
        <w:t xml:space="preserve"> </w:t>
      </w:r>
      <w:r>
        <w:rPr>
          <w:i/>
          <w:iCs/>
        </w:rPr>
        <w:t xml:space="preserve">incomplete</w:t>
      </w:r>
      <w:r>
        <w:t xml:space="preserve">. The boundary stone in the ancient Near East was not merely a personal property marker — it was the structural guarantee of a family’s covenantal inheritance in the land. To move it was not just theft; it was to undermine the land-grant structure by which every family in Israel maintained its stake in the covenant promises. Proverbs 22:28 and 23:10–11 reinforce this with theological weight: the poor whose boundary is moved has a</w:t>
      </w:r>
      <w:r>
        <w:t xml:space="preserve"> </w:t>
      </w:r>
      <w:r>
        <w:t xml:space="preserve">“Redeemer”</w:t>
      </w:r>
      <w:r>
        <w:t xml:space="preserve"> </w:t>
      </w:r>
      <w:r>
        <w:t xml:space="preserve">(גֹּאֵל) who will take up his case. The Reformed reading insists that this verse connects structural injustice with covenantal unfaithfulness — it is not merely an individual sin but a community-level assault on the land theology of the Mosaic covenant.</w:t>
      </w:r>
    </w:p>
    <w:p>
      <w:pPr>
        <w:pStyle w:val="BodyText"/>
      </w:pPr>
      <w:r>
        <w:rPr>
          <w:b/>
          <w:bCs/>
        </w:rPr>
        <w:t xml:space="preserve">False Witness — Lex Talionis:</w:t>
      </w:r>
      <w:r>
        <w:t xml:space="preserve"> </w:t>
      </w:r>
      <w:r>
        <w:t xml:space="preserve">The</w:t>
      </w:r>
      <w:r>
        <w:t xml:space="preserve"> </w:t>
      </w:r>
      <w:r>
        <w:rPr>
          <w:i/>
          <w:iCs/>
        </w:rPr>
        <w:t xml:space="preserve">lex talionis</w:t>
      </w:r>
      <w:r>
        <w:t xml:space="preserve"> </w:t>
      </w:r>
      <w:r>
        <w:t xml:space="preserve">in vv. 19–21 (</w:t>
      </w:r>
      <w:r>
        <w:t xml:space="preserve">“life for life, eye for eye, tooth for tooth”</w:t>
      </w:r>
      <w:r>
        <w:t xml:space="preserve">) is widely misread as primitive retributivism or as the Old Testament’s</w:t>
      </w:r>
      <w:r>
        <w:t xml:space="preserve"> </w:t>
      </w:r>
      <w:r>
        <w:t xml:space="preserve">“lower ethic”</w:t>
      </w:r>
      <w:r>
        <w:t xml:space="preserve"> </w:t>
      </w:r>
      <w:r>
        <w:t xml:space="preserve">corrected by Jesus in Matthew 5:38–42. This reading must be</w:t>
      </w:r>
      <w:r>
        <w:t xml:space="preserve"> </w:t>
      </w:r>
      <w:r>
        <w:rPr>
          <w:i/>
          <w:iCs/>
        </w:rPr>
        <w:t xml:space="preserve">refuted</w:t>
      </w:r>
      <w:r>
        <w:t xml:space="preserve"> </w:t>
      </w:r>
      <w:r>
        <w:t xml:space="preserve">on two grounds. First, the</w:t>
      </w:r>
      <w:r>
        <w:t xml:space="preserve"> </w:t>
      </w:r>
      <w:r>
        <w:rPr>
          <w:i/>
          <w:iCs/>
        </w:rPr>
        <w:t xml:space="preserve">lex talionis</w:t>
      </w:r>
      <w:r>
        <w:t xml:space="preserve"> </w:t>
      </w:r>
      <w:r>
        <w:t xml:space="preserve">in its original context was a principle of proportionality — it established that punishment must fit the crime, preventing both excessive punishment and insufficient punishment. It was, in the ancient Near Eastern context, a</w:t>
      </w:r>
      <w:r>
        <w:t xml:space="preserve"> </w:t>
      </w:r>
      <w:r>
        <w:rPr>
          <w:i/>
          <w:iCs/>
        </w:rPr>
        <w:t xml:space="preserve">limiting</w:t>
      </w:r>
      <w:r>
        <w:t xml:space="preserve"> </w:t>
      </w:r>
      <w:r>
        <w:t xml:space="preserve">and</w:t>
      </w:r>
      <w:r>
        <w:t xml:space="preserve"> </w:t>
      </w:r>
      <w:r>
        <w:rPr>
          <w:i/>
          <w:iCs/>
        </w:rPr>
        <w:t xml:space="preserve">equalizing</w:t>
      </w:r>
      <w:r>
        <w:t xml:space="preserve"> </w:t>
      </w:r>
      <w:r>
        <w:t xml:space="preserve">principle, not a license for unlimited vengeance. Second, Jesus’ correction in the Sermon on the Mount is directed at the personal, interpersonal application of the principle (</w:t>
      </w:r>
      <w:r>
        <w:t xml:space="preserve">“do not resist the one who is evil”</w:t>
      </w:r>
      <w:r>
        <w:t xml:space="preserve"> </w:t>
      </w:r>
      <w:r>
        <w:t xml:space="preserve">— in personal, non-judicial contexts), not at the judicial-structural principle itself. The Reformed reading maintains both the continuing validity of proportional justice in civil structures and the personal ethic of non-retaliation, without collapsing them.</w:t>
      </w:r>
    </w:p>
    <w:p>
      <w:pPr>
        <w:pStyle w:val="BodyText"/>
      </w:pPr>
      <w:r>
        <w:rPr>
          <w:b/>
          <w:bCs/>
        </w:rPr>
        <w:t xml:space="preserve">Deterrence —</w:t>
      </w:r>
      <w:r>
        <w:rPr>
          <w:b/>
          <w:bCs/>
        </w:rPr>
        <w:t xml:space="preserve"> </w:t>
      </w:r>
      <w:r>
        <w:rPr>
          <w:b/>
          <w:bCs/>
        </w:rPr>
        <w:t xml:space="preserve">“The Rest Shall Hear and Fear”</w:t>
      </w:r>
      <w:r>
        <w:rPr>
          <w:b/>
          <w:bCs/>
        </w:rPr>
        <w:t xml:space="preserve">:</w:t>
      </w:r>
      <w:r>
        <w:t xml:space="preserve"> </w:t>
      </w:r>
      <w:r>
        <w:t xml:space="preserve">The concluding deterrence formula (v. 20) is sometimes dismissed by grace-centered preaching as a</w:t>
      </w:r>
      <w:r>
        <w:t xml:space="preserve"> </w:t>
      </w:r>
      <w:r>
        <w:t xml:space="preserve">“lesser”</w:t>
      </w:r>
      <w:r>
        <w:t xml:space="preserve"> </w:t>
      </w:r>
      <w:r>
        <w:t xml:space="preserve">motivational framework superseded by the gospel. This must be</w:t>
      </w:r>
      <w:r>
        <w:t xml:space="preserve"> </w:t>
      </w:r>
      <w:r>
        <w:rPr>
          <w:i/>
          <w:iCs/>
        </w:rPr>
        <w:t xml:space="preserve">qualified</w:t>
      </w:r>
      <w:r>
        <w:t xml:space="preserve">. The deterrence motive is embedded in the text by God Himself and reflects a genuine and continuing truth about how justice functions in ordered society: visible, proportional punishment creates a social ecology in which evil is less likely to flourish. This is not sub-Christian; it is part of the creational wisdom in which both the Mosaic law and Paul’s account of governing authorities (Romans 13) participate.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Numbers 35:9–34</w:t>
      </w:r>
      <w:r>
        <w:t xml:space="preserve"> </w:t>
      </w:r>
      <w:r>
        <w:t xml:space="preserve">— The parallel cities of refuge legislation in Numbers, which adds the theological rationale: blood defiles the land, and the land cannot be atoned for except by the blood of the one who shed it. This grounds Deuteronomy 19’s urgency about innocent blood in covenantal land theology.</w:t>
      </w:r>
    </w:p>
    <w:p>
      <w:pPr>
        <w:numPr>
          <w:ilvl w:val="0"/>
          <w:numId w:val="1001"/>
        </w:numPr>
      </w:pPr>
      <w:r>
        <w:rPr>
          <w:b/>
          <w:bCs/>
        </w:rPr>
        <w:t xml:space="preserve">Proverbs 22:28; 23:10–11</w:t>
      </w:r>
      <w:r>
        <w:t xml:space="preserve"> </w:t>
      </w:r>
      <w:r>
        <w:t xml:space="preserve">—</w:t>
      </w:r>
      <w:r>
        <w:t xml:space="preserve"> </w:t>
      </w:r>
      <w:r>
        <w:t xml:space="preserve">“Do not move an ancient landmark… for their Redeemer is strong; he will plead their cause against you.”</w:t>
      </w:r>
      <w:r>
        <w:t xml:space="preserve"> </w:t>
      </w:r>
      <w:r>
        <w:t xml:space="preserve">This confirms that the boundary stone prohibition is not merely civic ethics but covenantal protection of the vulnerable, with God Himself as guarantor.</w:t>
      </w:r>
    </w:p>
    <w:p>
      <w:pPr>
        <w:numPr>
          <w:ilvl w:val="0"/>
          <w:numId w:val="1001"/>
        </w:numPr>
      </w:pPr>
      <w:r>
        <w:rPr>
          <w:b/>
          <w:bCs/>
        </w:rPr>
        <w:t xml:space="preserve">Matthew 18:15–20; 2 Corinthians 13:1; 1 Timothy 5:19</w:t>
      </w:r>
      <w:r>
        <w:t xml:space="preserve"> </w:t>
      </w:r>
      <w:r>
        <w:t xml:space="preserve">— The two-witnesses rule is carried directly into New Testament ecclesiology, governing church discipline and accusations against elders. This demonstrates the principle’s trans-covenantal authority and direct application to the covenant community in every age.</w:t>
      </w:r>
    </w:p>
    <w:p>
      <w:pPr>
        <w:numPr>
          <w:ilvl w:val="0"/>
          <w:numId w:val="1001"/>
        </w:numPr>
      </w:pPr>
      <w:r>
        <w:rPr>
          <w:b/>
          <w:bCs/>
        </w:rPr>
        <w:t xml:space="preserve">Hebrews 6:17–19</w:t>
      </w:r>
      <w:r>
        <w:t xml:space="preserve"> </w:t>
      </w:r>
      <w:r>
        <w:t xml:space="preserve">—</w:t>
      </w:r>
      <w:r>
        <w:t xml:space="preserve"> </w:t>
      </w:r>
      <w:r>
        <w:t xml:space="preserve">“We who have fled for refuge might have strong encouragement to hold fast to the hope set before us.”</w:t>
      </w:r>
      <w:r>
        <w:t xml:space="preserve"> </w:t>
      </w:r>
      <w:r>
        <w:t xml:space="preserve">The author of Hebrews draws directly on city-of-refuge imagery to describe the Christian’s flight to Christ. This typological fulfillment is legitimate but builds on, rather than replaces, the text’s primary legal claim.</w:t>
      </w:r>
    </w:p>
    <w:p>
      <w:pPr>
        <w:numPr>
          <w:ilvl w:val="0"/>
          <w:numId w:val="1001"/>
        </w:numPr>
      </w:pPr>
      <w:r>
        <w:rPr>
          <w:b/>
          <w:bCs/>
        </w:rPr>
        <w:t xml:space="preserve">Romans 13:1–4</w:t>
      </w:r>
      <w:r>
        <w:t xml:space="preserve"> </w:t>
      </w:r>
      <w:r>
        <w:t xml:space="preserve">— Paul’s account of governing authorities as</w:t>
      </w:r>
      <w:r>
        <w:t xml:space="preserve"> </w:t>
      </w:r>
      <w:r>
        <w:t xml:space="preserve">“God’s servant, an avenger who carries out God’s wrath on the wrongdoer”</w:t>
      </w:r>
      <w:r>
        <w:t xml:space="preserve"> </w:t>
      </w:r>
      <w:r>
        <w:t xml:space="preserve">— the civil administration of justice — stands in direct continuity with Deuteronomy 19’s vision of just social order as a divine mandate, not a merely human construct.</w:t>
      </w:r>
    </w:p>
    <w:p>
      <w:r>
        <w:pict>
          <v:rect style="width:0;height:1.5pt" o:hralign="center" o:hrstd="t" o:hr="t"/>
        </w:pict>
      </w:r>
    </w:p>
    <w:p>
      <w:pPr>
        <w:pStyle w:val="FirstParagraph"/>
      </w:pPr>
      <w:r>
        <w:rPr>
          <w:b/>
          <w:bCs/>
        </w:rPr>
        <w:t xml:space="preserve">Aim:</w:t>
      </w:r>
      <w:r>
        <w:t xml:space="preserve"> </w:t>
      </w:r>
      <w:r>
        <w:t xml:space="preserve">To demonstrate that true justice — distinguishing between guilt and innocence, protecting the vulnerable, and purging genuine evil — is a covenantal obligation flowing from the character of God, not a human legal invention, and to call the covenant community to embody that justice in every domain of its common life.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Command to set aside three cities of refuge when Israel takes the land; roads to be prepared; the fundamental purpose: that the manslayer who kills unintentionally may flee there and live</w:t>
            </w:r>
          </w:p>
        </w:tc>
        <w:tc>
          <w:tcPr/>
          <w:p>
            <w:pPr>
              <w:pStyle w:val="Compact"/>
            </w:pPr>
            <w:r>
              <w:t xml:space="preserve">The cities are part of the covenant-land inheritance; the roads must be kept clear — practical provision for refuge</w:t>
            </w:r>
          </w:p>
        </w:tc>
      </w:tr>
      <w:tr>
        <w:tc>
          <w:tcPr/>
          <w:p>
            <w:pPr>
              <w:pStyle w:val="Compact"/>
            </w:pPr>
            <w:r>
              <w:t xml:space="preserve">4–6</w:t>
            </w:r>
          </w:p>
        </w:tc>
        <w:tc>
          <w:tcPr/>
          <w:p>
            <w:pPr>
              <w:pStyle w:val="Compact"/>
            </w:pPr>
            <w:r>
              <w:t xml:space="preserve">The defining case: a man who kills his neighbor unintentionally (without prior hatred), such as in an accidental axe-head incident; he is to flee to one of these cities lest the</w:t>
            </w:r>
            <w:r>
              <w:t xml:space="preserve"> </w:t>
            </w:r>
            <w:r>
              <w:t xml:space="preserve">“avenger of blood”</w:t>
            </w:r>
            <w:r>
              <w:t xml:space="preserve"> </w:t>
            </w:r>
            <w:r>
              <w:t xml:space="preserve">pursue and kill him</w:t>
            </w:r>
            <w:r>
              <w:t xml:space="preserve"> </w:t>
            </w:r>
            <w:r>
              <w:t xml:space="preserve">“in hot anger”</w:t>
            </w:r>
          </w:p>
        </w:tc>
        <w:tc>
          <w:tcPr/>
          <w:p>
            <w:pPr>
              <w:pStyle w:val="Compact"/>
            </w:pPr>
            <w:r>
              <w:t xml:space="preserve">“Avenger of blood”</w:t>
            </w:r>
            <w:r>
              <w:t xml:space="preserve"> </w:t>
            </w:r>
            <w:r>
              <w:t xml:space="preserve">(גֹּאֵל הַדָּם) — kinsman-redeemer functioning as enforcer of blood justice; the city protects from disproportionate, uncalibrated vengeance</w:t>
            </w:r>
          </w:p>
        </w:tc>
      </w:tr>
      <w:tr>
        <w:tc>
          <w:tcPr/>
          <w:p>
            <w:pPr>
              <w:pStyle w:val="Compact"/>
            </w:pPr>
            <w:r>
              <w:t xml:space="preserve">7–9</w:t>
            </w:r>
          </w:p>
        </w:tc>
        <w:tc>
          <w:tcPr/>
          <w:p>
            <w:pPr>
              <w:pStyle w:val="Compact"/>
            </w:pPr>
            <w:r>
              <w:t xml:space="preserve">The three cities are not optional but commanded; an additional three may be added if the LORD expands Israel’s territory; the principle: so that innocent blood is not shed in your land</w:t>
            </w:r>
          </w:p>
        </w:tc>
        <w:tc>
          <w:tcPr/>
          <w:p>
            <w:pPr>
              <w:pStyle w:val="Compact"/>
            </w:pPr>
            <w:r>
              <w:t xml:space="preserve">The expansion provision is contingent on obedience —</w:t>
            </w:r>
            <w:r>
              <w:t xml:space="preserve"> </w:t>
            </w:r>
            <w:r>
              <w:t xml:space="preserve">“if you are careful to do all this commandment”</w:t>
            </w:r>
            <w:r>
              <w:t xml:space="preserve"> </w:t>
            </w:r>
            <w:r>
              <w:t xml:space="preserve">(v. 9). Justice structures scale with covenant faithfulness</w:t>
            </w:r>
          </w:p>
        </w:tc>
      </w:tr>
      <w:tr>
        <w:tc>
          <w:tcPr/>
          <w:p>
            <w:pPr>
              <w:pStyle w:val="Compact"/>
            </w:pPr>
            <w:r>
              <w:t xml:space="preserve">10</w:t>
            </w:r>
          </w:p>
        </w:tc>
        <w:tc>
          <w:tcPr/>
          <w:p>
            <w:pPr>
              <w:pStyle w:val="Compact"/>
            </w:pPr>
            <w:r>
              <w:t xml:space="preserve">The underlying purpose restated:</w:t>
            </w:r>
            <w:r>
              <w:t xml:space="preserve"> </w:t>
            </w:r>
            <w:r>
              <w:t xml:space="preserve">“lest innocent blood be shed in your land that the LORD your God is giving you for an inheritance, and so the guilt of bloodshed be upon you”</w:t>
            </w:r>
          </w:p>
        </w:tc>
        <w:tc>
          <w:tcPr/>
          <w:p>
            <w:pPr>
              <w:pStyle w:val="Compact"/>
            </w:pPr>
            <w:r>
              <w:t xml:space="preserve">Innocent blood is not merely a tragedy — it is a communal guilt. The whole community bears responsibility for structures that prevent it</w:t>
            </w:r>
          </w:p>
        </w:tc>
      </w:tr>
      <w:tr>
        <w:tc>
          <w:tcPr/>
          <w:p>
            <w:pPr>
              <w:pStyle w:val="Compact"/>
            </w:pPr>
            <w:r>
              <w:t xml:space="preserve">11–13</w:t>
            </w:r>
          </w:p>
        </w:tc>
        <w:tc>
          <w:tcPr/>
          <w:p>
            <w:pPr>
              <w:pStyle w:val="Compact"/>
            </w:pPr>
            <w:r>
              <w:t xml:space="preserve">The counter-case: the man who hates, lies in wait, strikes, and kills — he may not use the city of refuge as protection; the elders of his city are to send and take him from there;</w:t>
            </w:r>
            <w:r>
              <w:t xml:space="preserve"> </w:t>
            </w:r>
            <w:r>
              <w:t xml:space="preserve">“your eye shall not pity him; you shall purge the guilt of innocent blood from Israel”</w:t>
            </w:r>
          </w:p>
        </w:tc>
        <w:tc>
          <w:tcPr/>
          <w:p>
            <w:pPr>
              <w:pStyle w:val="Compact"/>
            </w:pPr>
            <w:r>
              <w:t xml:space="preserve">The city of refuge is explicitly</w:t>
            </w:r>
            <w:r>
              <w:t xml:space="preserve"> </w:t>
            </w:r>
            <w:r>
              <w:rPr>
                <w:i/>
                <w:iCs/>
              </w:rPr>
              <w:t xml:space="preserve">not</w:t>
            </w:r>
            <w:r>
              <w:t xml:space="preserve"> </w:t>
            </w:r>
            <w:r>
              <w:t xml:space="preserve">a general amnesty. The elders have positive obligation to extradite the murderer. No pity for premeditated killing — this is justice, not vengeance</w:t>
            </w:r>
          </w:p>
        </w:tc>
      </w:tr>
      <w:tr>
        <w:tc>
          <w:tcPr/>
          <w:p>
            <w:pPr>
              <w:pStyle w:val="Compact"/>
            </w:pPr>
            <w:r>
              <w:t xml:space="preserve">14</w:t>
            </w:r>
          </w:p>
        </w:tc>
        <w:tc>
          <w:tcPr/>
          <w:p>
            <w:pPr>
              <w:pStyle w:val="Compact"/>
            </w:pPr>
            <w:r>
              <w:t xml:space="preserve">“You shall not move your neighbor’s landmark, which the men of old have set, in the inheritance that you will hold in the land that the LORD your God is giving you to possess”</w:t>
            </w:r>
          </w:p>
        </w:tc>
        <w:tc>
          <w:tcPr/>
          <w:p>
            <w:pPr>
              <w:pStyle w:val="Compact"/>
            </w:pPr>
            <w:r>
              <w:t xml:space="preserve">A single verse but enormous weight: the landmark is not merely property — it is the family’s stake in the covenantal inheritance. To move it is structural injustice against a family’s place in the covenant community</w:t>
            </w:r>
          </w:p>
        </w:tc>
      </w:tr>
      <w:tr>
        <w:tc>
          <w:tcPr/>
          <w:p>
            <w:pPr>
              <w:pStyle w:val="Compact"/>
            </w:pPr>
            <w:r>
              <w:t xml:space="preserve">15</w:t>
            </w:r>
          </w:p>
        </w:tc>
        <w:tc>
          <w:tcPr/>
          <w:p>
            <w:pPr>
              <w:pStyle w:val="Compact"/>
            </w:pPr>
            <w:r>
              <w:t xml:space="preserve">“A single witness shall not suffice against a person for any crime or for any wrong in connection with any offense that he has committed. Only on the evidence of two witnesses or of three witnesses shall a charge be established”</w:t>
            </w:r>
          </w:p>
        </w:tc>
        <w:tc>
          <w:tcPr/>
          <w:p>
            <w:pPr>
              <w:pStyle w:val="Compact"/>
            </w:pPr>
            <w:r>
              <w:t xml:space="preserve">Protects against false accusation and personal vengeance dressed as legal process. Carried into NT ecclesiology (Matthew 18; 1 Timothy 5:19)</w:t>
            </w:r>
          </w:p>
        </w:tc>
      </w:tr>
      <w:tr>
        <w:tc>
          <w:tcPr/>
          <w:p>
            <w:pPr>
              <w:pStyle w:val="Compact"/>
            </w:pPr>
            <w:r>
              <w:t xml:space="preserve">16–19</w:t>
            </w:r>
          </w:p>
        </w:tc>
        <w:tc>
          <w:tcPr/>
          <w:p>
            <w:pPr>
              <w:pStyle w:val="Compact"/>
            </w:pPr>
            <w:r>
              <w:t xml:space="preserve">If a malicious witness rises against a man, both parties are to appear before the LORD and the priests and judges; the judges shall investigate carefully; if the witness has testified falsely, he shall receive what he intended for the accused</w:t>
            </w:r>
          </w:p>
        </w:tc>
        <w:tc>
          <w:tcPr/>
          <w:p>
            <w:pPr>
              <w:pStyle w:val="Compact"/>
            </w:pPr>
            <w:r>
              <w:t xml:space="preserve">“Malicious witness”</w:t>
            </w:r>
            <w:r>
              <w:t xml:space="preserve"> </w:t>
            </w:r>
            <w:r>
              <w:t xml:space="preserve">(עֵד חָמָס) — literally</w:t>
            </w:r>
            <w:r>
              <w:t xml:space="preserve"> </w:t>
            </w:r>
            <w:r>
              <w:t xml:space="preserve">“a witness of violence”</w:t>
            </w:r>
            <w:r>
              <w:t xml:space="preserve">; the punishment is not merely proportional but</w:t>
            </w:r>
            <w:r>
              <w:t xml:space="preserve"> </w:t>
            </w:r>
            <w:r>
              <w:rPr>
                <w:i/>
                <w:iCs/>
              </w:rPr>
              <w:t xml:space="preserve">retributive</w:t>
            </w:r>
            <w:r>
              <w:t xml:space="preserve">: he gets exactly what he schemed to give. This is the justice of exposure and reversal</w:t>
            </w:r>
          </w:p>
        </w:tc>
      </w:tr>
      <w:tr>
        <w:tc>
          <w:tcPr/>
          <w:p>
            <w:pPr>
              <w:pStyle w:val="Compact"/>
            </w:pPr>
            <w:r>
              <w:t xml:space="preserve">20–21</w:t>
            </w:r>
          </w:p>
        </w:tc>
        <w:tc>
          <w:tcPr/>
          <w:p>
            <w:pPr>
              <w:pStyle w:val="Compact"/>
            </w:pPr>
            <w:r>
              <w:t xml:space="preserve">The deterrence principle:</w:t>
            </w:r>
            <w:r>
              <w:t xml:space="preserve"> </w:t>
            </w:r>
            <w:r>
              <w:t xml:space="preserve">“The rest shall hear and fear and shall never again commit any such evil among you.”</w:t>
            </w:r>
            <w:r>
              <w:t xml:space="preserve"> </w:t>
            </w:r>
            <w:r>
              <w:t xml:space="preserve">The</w:t>
            </w:r>
            <w:r>
              <w:t xml:space="preserve"> </w:t>
            </w:r>
            <w:r>
              <w:rPr>
                <w:i/>
                <w:iCs/>
              </w:rPr>
              <w:t xml:space="preserve">lex talionis</w:t>
            </w:r>
            <w:r>
              <w:t xml:space="preserve"> </w:t>
            </w:r>
            <w:r>
              <w:t xml:space="preserve">stated: life for life, eye for eye, tooth for tooth, hand for hand, foot for foot</w:t>
            </w:r>
          </w:p>
        </w:tc>
        <w:tc>
          <w:tcPr/>
          <w:p>
            <w:pPr>
              <w:pStyle w:val="Compact"/>
            </w:pPr>
            <w:r>
              <w:t xml:space="preserve">Deterrence is built into the structure by divine design. The</w:t>
            </w:r>
            <w:r>
              <w:t xml:space="preserve"> </w:t>
            </w:r>
            <w:r>
              <w:rPr>
                <w:i/>
                <w:iCs/>
              </w:rPr>
              <w:t xml:space="preserve">lex talionis</w:t>
            </w:r>
            <w:r>
              <w:t xml:space="preserve"> </w:t>
            </w:r>
            <w:r>
              <w:t xml:space="preserve">is a principle of proportionality — the punishment must match the intended harm, no more and no less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1–13</w:t>
            </w:r>
          </w:p>
        </w:tc>
        <w:tc>
          <w:tcPr/>
          <w:p>
            <w:pPr>
              <w:pStyle w:val="Compact"/>
            </w:pPr>
            <w:r>
              <w:t xml:space="preserve">Cities of Refuge: Protecting Innocent Life by Distinguishing Intent from Guilt</w:t>
            </w:r>
          </w:p>
        </w:tc>
      </w:tr>
      <w:tr>
        <w:tc>
          <w:tcPr/>
          <w:p>
            <w:pPr>
              <w:pStyle w:val="Compact"/>
            </w:pPr>
            <w:r>
              <w:t xml:space="preserve">2</w:t>
            </w:r>
          </w:p>
        </w:tc>
        <w:tc>
          <w:tcPr/>
          <w:p>
            <w:pPr>
              <w:pStyle w:val="Compact"/>
            </w:pPr>
            <w:r>
              <w:t xml:space="preserve">14</w:t>
            </w:r>
          </w:p>
        </w:tc>
        <w:tc>
          <w:tcPr/>
          <w:p>
            <w:pPr>
              <w:pStyle w:val="Compact"/>
            </w:pPr>
            <w:r>
              <w:t xml:space="preserve">The Boundary Stone: Protecting Covenantal Inheritance from Structural Theft</w:t>
            </w:r>
          </w:p>
        </w:tc>
      </w:tr>
      <w:tr>
        <w:tc>
          <w:tcPr/>
          <w:p>
            <w:pPr>
              <w:pStyle w:val="Compact"/>
            </w:pPr>
            <w:r>
              <w:t xml:space="preserve">3</w:t>
            </w:r>
          </w:p>
        </w:tc>
        <w:tc>
          <w:tcPr/>
          <w:p>
            <w:pPr>
              <w:pStyle w:val="Compact"/>
            </w:pPr>
            <w:r>
              <w:t xml:space="preserve">15–21</w:t>
            </w:r>
          </w:p>
        </w:tc>
        <w:tc>
          <w:tcPr/>
          <w:p>
            <w:pPr>
              <w:pStyle w:val="Compact"/>
            </w:pPr>
            <w:r>
              <w:t xml:space="preserve">The Witnesses Law: Protecting Truth and Punishing False Accusation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establishes just structures in Israel to protect the innocent and punish the guilty.</w:t>
      </w:r>
    </w:p>
    <w:p>
      <w:pPr>
        <w:pStyle w:val="BodyText"/>
      </w:pPr>
      <w:r>
        <w:rPr>
          <w:b/>
          <w:bCs/>
        </w:rPr>
        <w:t xml:space="preserve">Primary Claim:</w:t>
      </w:r>
      <w:r>
        <w:t xml:space="preserve"> </w:t>
      </w:r>
      <w:r>
        <w:t xml:space="preserve">God demands that His covenant community order its common life around true justice — distinguishing carefully between guilt and innocence, protecting the vulnerable from false accusation, and ensuring that evil is genuinely purged rather than tolerated.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Resist the pressure to flatten all moral distinctions in the name of mercy.</w:t>
      </w:r>
      <w:r>
        <w:t xml:space="preserve"> </w:t>
      </w:r>
      <w:r>
        <w:rPr>
          <w:i/>
          <w:iCs/>
        </w:rPr>
        <w:t xml:space="preserve">(Mind/Belief)</w:t>
      </w:r>
      <w:r>
        <w:t xml:space="preserve"> </w:t>
      </w:r>
      <w:r>
        <w:t xml:space="preserve">The cities of refuge legislation is built entirely on a distinction the text refuses to collapse: intent matters. The man who killed without hatred is not the same as the man who planned and executed a murder. Contemporary pastoral culture frequently erases such distinctions in the name of grace — treating all guilt as equivalent, all processes as equally valid, all accusations as equally reliable. Deuteronomy 19 calls us to recover the discipline of careful moral discrimination. Mercy that refuses to distinguish is not mercy — it is a failure of justice that ultimately harms the innocent. God cares about the difference between the accidental and the intentional, and so must the community that bears His name.</w:t>
      </w:r>
    </w:p>
    <w:p>
      <w:pPr>
        <w:pStyle w:val="BodyText"/>
      </w:pPr>
      <w:r>
        <w:rPr>
          <w:b/>
          <w:bCs/>
        </w:rPr>
        <w:t xml:space="preserve">2. Take seriously your community’s structures — the systems by which the vulnerable are either protected or exposed.</w:t>
      </w:r>
      <w:r>
        <w:t xml:space="preserve"> </w:t>
      </w:r>
      <w:r>
        <w:rPr>
          <w:i/>
          <w:iCs/>
        </w:rPr>
        <w:t xml:space="preserve">(Will/Behavior)</w:t>
      </w:r>
      <w:r>
        <w:t xml:space="preserve"> </w:t>
      </w:r>
      <w:r>
        <w:t xml:space="preserve">The boundary stone and the cities of refuge are not individual-level instructions only — they are structural provisions. The question Deuteronomy 19 puts to every covenant community is not merely</w:t>
      </w:r>
      <w:r>
        <w:t xml:space="preserve"> </w:t>
      </w:r>
      <w:r>
        <w:t xml:space="preserve">“are you personally honest?”</w:t>
      </w:r>
      <w:r>
        <w:t xml:space="preserve"> </w:t>
      </w:r>
      <w:r>
        <w:t xml:space="preserve">but</w:t>
      </w:r>
      <w:r>
        <w:t xml:space="preserve"> </w:t>
      </w:r>
      <w:r>
        <w:t xml:space="preserve">“do the structures of your community protect the person with no power to protect herself?”</w:t>
      </w:r>
      <w:r>
        <w:t xml:space="preserve"> </w:t>
      </w:r>
      <w:r>
        <w:t xml:space="preserve">This applies to how churches handle accusations, how institutions handle the powerless, and how communities maintain (or quietly move) the landmarks that protect those who have little. Identify one structural boundary stone in your community that has been quietly shifted against the vulnerable, and act to restore it.</w:t>
      </w:r>
    </w:p>
    <w:p>
      <w:pPr>
        <w:pStyle w:val="BodyText"/>
      </w:pPr>
      <w:r>
        <w:rPr>
          <w:b/>
          <w:bCs/>
        </w:rPr>
        <w:t xml:space="preserve">3. Let the weight of innocent blood produce genuine seriousness about justice, not procedural indifference.</w:t>
      </w:r>
      <w:r>
        <w:t xml:space="preserve"> </w:t>
      </w:r>
      <w:r>
        <w:rPr>
          <w:i/>
          <w:iCs/>
        </w:rPr>
        <w:t xml:space="preserve">(Affections/Worship)</w:t>
      </w:r>
      <w:r>
        <w:t xml:space="preserve"> </w:t>
      </w:r>
      <w:r>
        <w:t xml:space="preserve">Verse 10 says that if innocent blood is shed through the failure of adequate structures,</w:t>
      </w:r>
      <w:r>
        <w:t xml:space="preserve"> </w:t>
      </w:r>
      <w:r>
        <w:t xml:space="preserve">“the guilt of bloodshed be upon you.”</w:t>
      </w:r>
      <w:r>
        <w:t xml:space="preserve"> </w:t>
      </w:r>
      <w:r>
        <w:t xml:space="preserve">The community that tolerates inadequate justice doesn’t merely witness an injustice — it incurs guilt. This should produce something in us: a holy seriousness about getting it right, a willingness to invest in systems that protect rather than expose the innocent, and a grief over the places where our communities have failed this standard. The opposite of this affective engagement is a procedural detachment —</w:t>
      </w:r>
      <w:r>
        <w:t xml:space="preserve"> </w:t>
      </w:r>
      <w:r>
        <w:t xml:space="preserve">“I didn’t do it personally”</w:t>
      </w:r>
      <w:r>
        <w:t xml:space="preserve"> </w:t>
      </w:r>
      <w:r>
        <w:t xml:space="preserve">— that the text explicitly refuses. Let the possibility of innocent blood keep you from casual indifference to how justice is administered in your community.</w:t>
      </w:r>
    </w:p>
    <w:p>
      <w:pPr>
        <w:pStyle w:val="BodyText"/>
      </w:pPr>
      <w:r>
        <w:rPr>
          <w:b/>
          <w:bCs/>
        </w:rPr>
        <w:t xml:space="preserve">4. Guard your tongue and your testimony with the knowledge that God is the Judge of false witnesses.</w:t>
      </w:r>
      <w:r>
        <w:t xml:space="preserve"> </w:t>
      </w:r>
      <w:r>
        <w:rPr>
          <w:i/>
          <w:iCs/>
        </w:rPr>
        <w:t xml:space="preserve">(Mind/Belief)</w:t>
      </w:r>
      <w:r>
        <w:t xml:space="preserve"> </w:t>
      </w:r>
      <w:r>
        <w:t xml:space="preserve">The false witness legislation is not merely a deterrent against lying in formal legal proceedings — it is a statement about what God does with those who use speech as a weapon against the innocent. The false witness was to receive what he intended for his victim. This is not arbitrary — it reflects God’s own character as the one who sees through testimony to intent. In the new covenant community, this principle extends to every use of speech that functions as testimony — accusations made in communities, rumors spread through social networks, slander offered as concern. The question the false witness law puts to every Christian is:</w:t>
      </w:r>
      <w:r>
        <w:t xml:space="preserve"> </w:t>
      </w:r>
      <w:r>
        <w:t xml:space="preserve">“Are you prepared to receive what you are intending for the person you are speaking about?”</w:t>
      </w:r>
    </w:p>
    <w:p>
      <w:pPr>
        <w:pStyle w:val="BodyText"/>
      </w:pPr>
      <w:r>
        <w:rPr>
          <w:b/>
          <w:bCs/>
        </w:rPr>
        <w:t xml:space="preserve">5. Teach the next generation that proportional justice is not cruelty — it is a gift.</w:t>
      </w:r>
      <w:r>
        <w:t xml:space="preserve"> </w:t>
      </w:r>
      <w:r>
        <w:rPr>
          <w:i/>
          <w:iCs/>
        </w:rPr>
        <w:t xml:space="preserve">(Affections/Worship)</w:t>
      </w:r>
      <w:r>
        <w:t xml:space="preserve"> </w:t>
      </w:r>
      <w:r>
        <w:t xml:space="preserve">The</w:t>
      </w:r>
      <w:r>
        <w:t xml:space="preserve"> </w:t>
      </w:r>
      <w:r>
        <w:rPr>
          <w:i/>
          <w:iCs/>
        </w:rPr>
        <w:t xml:space="preserve">lex talionis</w:t>
      </w:r>
      <w:r>
        <w:t xml:space="preserve"> </w:t>
      </w:r>
      <w:r>
        <w:t xml:space="preserve">is one of the most misunderstood principles in Scripture, widely taught as the emblem of Old Testament harshness. But in its original context, it was a revolutionary restraint on violence: punishment must not exceed the harm done. It protected the poor from judges who accepted bribes, it protected the powerless from powerful accusers, and it created a social ecology in which people could live without fear of arbitrary escalation. Christians who dismiss this as</w:t>
      </w:r>
      <w:r>
        <w:t xml:space="preserve"> </w:t>
      </w:r>
      <w:r>
        <w:t xml:space="preserve">“pre-Christian”</w:t>
      </w:r>
      <w:r>
        <w:t xml:space="preserve"> </w:t>
      </w:r>
      <w:r>
        <w:t xml:space="preserve">are cutting themselves off from a rich vein of wisdom about how human communities flourish. Help your congregation recover the theological beauty of proportional justice — not as cruelty, but as the structure that makes genuine human community possible.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Deuteronomy 19 reveals that God is not indifferent to the structures by which human life is ordered in community. Justice — real, discriminating, procedurally careful, structurally embedded justice — is not a human invention but a divine demand, rooted in God’s own character as the one who distinguishes between guilt and innocence, who hates the shedding of innocent blood, and who will not allow the powerful to crush the powerless without consequence. The chapter’s repeated concern for</w:t>
      </w:r>
      <w:r>
        <w:t xml:space="preserve"> </w:t>
      </w:r>
      <w:r>
        <w:t xml:space="preserve">“innocent blood”</w:t>
      </w:r>
      <w:r>
        <w:t xml:space="preserve"> </w:t>
      </w:r>
      <w:r>
        <w:t xml:space="preserve">reflects a theology of life: human life is not merely valuable in the abstract but carries a weight that creates communal obligation. To fail to protect it through adequate structures is not merely a legal failure — it is a covenantal one. The three provisions together — refuge for the innocent, protection of inheritance, and punishment of false accusation — reveal a God who cares about distinctions, who does not allow</w:t>
      </w:r>
      <w:r>
        <w:t xml:space="preserve"> </w:t>
      </w:r>
      <w:r>
        <w:t xml:space="preserve">“mercy”</w:t>
      </w:r>
      <w:r>
        <w:t xml:space="preserve"> </w:t>
      </w:r>
      <w:r>
        <w:t xml:space="preserve">to become a cover for impunity, and who builds His community around the discipline of getting justice right.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Deuteronomy 19 stands as a foundational text for the Reformed understanding of the civil use of the law (</w:t>
      </w:r>
      <w:r>
        <w:rPr>
          <w:i/>
          <w:iCs/>
        </w:rPr>
        <w:t xml:space="preserve">usus politicus</w:t>
      </w:r>
      <w:r>
        <w:t xml:space="preserve">) — the ongoing function of biblical legal principles in ordering human community for justice and restraint of evil. The chapter demonstrates that God’s concern for justice is not superseded by the coming of Christ but is built into the creational and covenantal order that the gospel restores rather than abolishes. The cities of refuge provide one of Scripture’s richest types of Christ as refuge — Calvin and subsequent Reformed interpreters consistently develop this typology — but the typological reading is grounded in, not substituted for, the chapter’s primary legal claim. The two-witnesses rule’s direct transmission into New Testament church order (Matthew 18; 1 Timothy 5:19) demonstrates the trans-covenantal authority of these structural principles, confirming the Reformed conviction that the moral and judicial wisdom of the Mosaic law continues to instruct the church even where its ceremonial and civil-theocratic specifics are not replicated. Most significantly, the chapter’s repeated phrase —</w:t>
      </w:r>
      <w:r>
        <w:t xml:space="preserve"> </w:t>
      </w:r>
      <w:r>
        <w:t xml:space="preserve">“purge the evil from your midst”</w:t>
      </w:r>
      <w:r>
        <w:t xml:space="preserve"> </w:t>
      </w:r>
      <w:r>
        <w:t xml:space="preserve">— reflects the Reformed understanding that the covenant community has a corporate responsibility for the holiness and justice of its common life that cannot be reduced to individual piety.</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has never been neutral about justice. He builds it into the structures of His covenant community because it reflects who He is — the God who distinguishes, who sees intent, who protects the innocent, and who will not allow evil to go unpurged. The church that handles accusations carelessly, tolerates structural injustice, or lets false testimony pass unchallenged is not just failing a legal standard — it is failing to image the God it claims to worship. Get the structures right. Protect the innocent. Purge the evil. This is what it looks like to be His people.</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Treating the cities of refuge as the whole chapter’s message and neglecting vv. 14–21.</w:t>
      </w:r>
      <w:r>
        <w:t xml:space="preserve"> </w:t>
      </w:r>
      <w:r>
        <w:t xml:space="preserve">The typological richness of the cities of refuge is genuinely compelling, and Christ-as-refuge is a legitimate and beautiful application. But preachers who stop there miss two-thirds of the chapter’s content and, more importantly, its governing concern: the integrity of justice across every domain of communal life. The cities of refuge are one provision within a chapter about justice; they are not the chapter’s entire claim.</w:t>
      </w:r>
    </w:p>
    <w:p>
      <w:pPr>
        <w:numPr>
          <w:ilvl w:val="0"/>
          <w:numId w:val="1002"/>
        </w:numPr>
      </w:pPr>
      <w:r>
        <w:rPr>
          <w:b/>
          <w:bCs/>
        </w:rPr>
        <w:t xml:space="preserve">Collapsing the cities of refuge into a general picture of divine mercy, losing the crucial distinction between the manslayer and the murderer.</w:t>
      </w:r>
      <w:r>
        <w:t xml:space="preserve"> </w:t>
      </w:r>
      <w:r>
        <w:t xml:space="preserve">The text is explicit that the city of refuge does</w:t>
      </w:r>
      <w:r>
        <w:t xml:space="preserve"> </w:t>
      </w:r>
      <w:r>
        <w:rPr>
          <w:i/>
          <w:iCs/>
        </w:rPr>
        <w:t xml:space="preserve">not</w:t>
      </w:r>
      <w:r>
        <w:t xml:space="preserve"> </w:t>
      </w:r>
      <w:r>
        <w:t xml:space="preserve">protect the murderer. A sermon that treats all people as equally eligible for</w:t>
      </w:r>
      <w:r>
        <w:t xml:space="preserve"> </w:t>
      </w:r>
      <w:r>
        <w:t xml:space="preserve">“the city of refuge”</w:t>
      </w:r>
      <w:r>
        <w:t xml:space="preserve"> </w:t>
      </w:r>
      <w:r>
        <w:t xml:space="preserve">in a gospel application has inadvertently taught that God does not distinguish between guilt and innocence — which is precisely the opposite of this chapter’s claim. The typology holds (sinners fleeing to Christ), but it must be handled carefully: we flee to Christ not as innocent manslayers but as guilty ones, whose guilt is genuinely covered, not overlooked.</w:t>
      </w:r>
    </w:p>
    <w:p>
      <w:pPr>
        <w:numPr>
          <w:ilvl w:val="0"/>
          <w:numId w:val="1002"/>
        </w:numPr>
      </w:pPr>
      <w:r>
        <w:rPr>
          <w:b/>
          <w:bCs/>
        </w:rPr>
        <w:t xml:space="preserve">Reading the</w:t>
      </w:r>
      <w:r>
        <w:rPr>
          <w:b/>
          <w:bCs/>
        </w:rPr>
        <w:t xml:space="preserve"> </w:t>
      </w:r>
      <w:r>
        <w:rPr>
          <w:b/>
          <w:bCs/>
          <w:i/>
          <w:iCs/>
        </w:rPr>
        <w:t xml:space="preserve">lex talionis</w:t>
      </w:r>
      <w:r>
        <w:rPr>
          <w:b/>
          <w:bCs/>
        </w:rPr>
        <w:t xml:space="preserve"> </w:t>
      </w:r>
      <w:r>
        <w:rPr>
          <w:b/>
          <w:bCs/>
        </w:rPr>
        <w:t xml:space="preserve">as primitive retributivism and rushing to Matthew 5 to</w:t>
      </w:r>
      <w:r>
        <w:rPr>
          <w:b/>
          <w:bCs/>
        </w:rPr>
        <w:t xml:space="preserve"> </w:t>
      </w:r>
      <w:r>
        <w:rPr>
          <w:b/>
          <w:bCs/>
        </w:rPr>
        <w:t xml:space="preserve">“correct”</w:t>
      </w:r>
      <w:r>
        <w:rPr>
          <w:b/>
          <w:bCs/>
        </w:rPr>
        <w:t xml:space="preserve"> </w:t>
      </w:r>
      <w:r>
        <w:rPr>
          <w:b/>
          <w:bCs/>
        </w:rPr>
        <w:t xml:space="preserve">it.</w:t>
      </w:r>
      <w:r>
        <w:t xml:space="preserve"> </w:t>
      </w:r>
      <w:r>
        <w:t xml:space="preserve">This loses both the original meaning of proportional justice and the proper relationship between the Testaments. Jesus is not correcting the judicial principle of proportionality — He is addressing interpersonal, non-judicial retaliation. Preachers should resist the temptation to use Deuteronomy 19 as the</w:t>
      </w:r>
      <w:r>
        <w:t xml:space="preserve"> </w:t>
      </w:r>
      <w:r>
        <w:t xml:space="preserve">“old”</w:t>
      </w:r>
      <w:r>
        <w:t xml:space="preserve"> </w:t>
      </w:r>
      <w:r>
        <w:t xml:space="preserve">ethic that gets superseded. The two coexist and address different spheres.</w:t>
      </w:r>
    </w:p>
    <w:p>
      <w:pPr>
        <w:numPr>
          <w:ilvl w:val="0"/>
          <w:numId w:val="1002"/>
        </w:numPr>
      </w:pPr>
      <w:r>
        <w:rPr>
          <w:b/>
          <w:bCs/>
        </w:rPr>
        <w:t xml:space="preserve">Treating v. 14 (the boundary stone) as a throwaway verse sandwiched between more interesting material.</w:t>
      </w:r>
      <w:r>
        <w:t xml:space="preserve"> </w:t>
      </w:r>
      <w:r>
        <w:t xml:space="preserve">This single verse carries enormous theological weight about structural injustice, covenantal inheritance, and God as the Redeemer of the powerless. It deserves genuine engagement, especially in a cultural moment when structural injustice is deeply contested. The boundary stone is not merely</w:t>
      </w:r>
      <w:r>
        <w:t xml:space="preserve"> </w:t>
      </w:r>
      <w:r>
        <w:t xml:space="preserve">“don’t cheat your neighbor”</w:t>
      </w:r>
      <w:r>
        <w:t xml:space="preserve"> </w:t>
      </w:r>
      <w:r>
        <w:t xml:space="preserve">— it is</w:t>
      </w:r>
      <w:r>
        <w:t xml:space="preserve"> </w:t>
      </w:r>
      <w:r>
        <w:t xml:space="preserve">“don’t dismantle the structural protections that give the vulnerable their stake in the community.”</w:t>
      </w:r>
    </w:p>
    <w:p>
      <w:pPr>
        <w:numPr>
          <w:ilvl w:val="0"/>
          <w:numId w:val="1002"/>
        </w:numPr>
      </w:pPr>
      <w:r>
        <w:rPr>
          <w:b/>
          <w:bCs/>
        </w:rPr>
        <w:t xml:space="preserve">Moralizing the applications without grounding them in the character of God.</w:t>
      </w:r>
      <w:r>
        <w:t xml:space="preserve"> </w:t>
      </w:r>
      <w:r>
        <w:t xml:space="preserve">The danger in a legal passage like Deuteronomy 19 is producing a list of ethical imperatives —</w:t>
      </w:r>
      <w:r>
        <w:t xml:space="preserve"> </w:t>
      </w:r>
      <w:r>
        <w:t xml:space="preserve">“be just, be honest, protect the innocent”</w:t>
      </w:r>
      <w:r>
        <w:t xml:space="preserve"> </w:t>
      </w:r>
      <w:r>
        <w:t xml:space="preserve">— without anchoring them in the theological reality that drives them: God’s own hatred of innocent blood, His character as the just Judge, and His covenant commitment to a community that reflects His justice. Applications not grounded in the character of God reduce to moralism. The</w:t>
      </w:r>
      <w:r>
        <w:t xml:space="preserve"> </w:t>
      </w:r>
      <w:r>
        <w:t xml:space="preserve">“purge the evil”</w:t>
      </w:r>
      <w:r>
        <w:t xml:space="preserve"> </w:t>
      </w:r>
      <w:r>
        <w:t xml:space="preserve">refrain is not a program for human moral improvement — it is a community’s participation in God’s own judgment against evil.</w:t>
      </w:r>
    </w:p>
    <w:p>
      <w:pPr>
        <w:numPr>
          <w:ilvl w:val="0"/>
          <w:numId w:val="1002"/>
        </w:numPr>
      </w:pPr>
      <w:r>
        <w:rPr>
          <w:b/>
          <w:bCs/>
        </w:rPr>
        <w:t xml:space="preserve">Failing to apply the two-witnesses principle to church practice.</w:t>
      </w:r>
      <w:r>
        <w:t xml:space="preserve"> </w:t>
      </w:r>
      <w:r>
        <w:t xml:space="preserve">The two-witnesses rule is not a historical curiosity — it was carried directly into New Testament church discipline (Matthew 18:16; 1 Timothy 5:19; 2 Corinthians 13:1). A congregation that has never heard a sermon on this passage is likely unprepared for the moment when an accusation is made against a leader or member. Preachers who treat this chapter as purely ancient law miss its most concrete and urgent application to the church’s current practice of handling accusations, discipline, and testimony.</w:t>
      </w:r>
    </w:p>
    <w:p>
      <w:r>
        <w:pict>
          <v:rect style="width:0;height:1.5pt" o:hralign="center" o:hrstd="t" o:hr="t"/>
        </w:pict>
      </w:r>
    </w:p>
    <w:p>
      <w:pPr>
        <w:pStyle w:val="FirstParagraph"/>
      </w:pPr>
      <w:r>
        <w:rPr>
          <w:i/>
          <w:iCs/>
        </w:rPr>
        <w:t xml:space="preserve">Document: 05 Deuteronomy 19.docx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2026-07-14T21:02:06Z</dcterms:created>
  <dcterms:modified xsi:type="dcterms:W3CDTF">2026-07-14T21:02:06Z</dcterms:modified>
</cp:coreProperties>
</file>

<file path=docProps/custom.xml><?xml version="1.0" encoding="utf-8"?>
<Properties xmlns="http://schemas.openxmlformats.org/officeDocument/2006/custom-properties" xmlns:vt="http://schemas.openxmlformats.org/officeDocument/2006/docPropsVTypes"/>
</file>